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8F42E" w14:textId="77777777" w:rsidR="00D9173F" w:rsidRPr="00104238" w:rsidRDefault="00D9173F" w:rsidP="0028143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104238">
        <w:rPr>
          <w:rFonts w:ascii="Times New Roman" w:hAnsi="Times New Roman"/>
          <w:sz w:val="24"/>
          <w:szCs w:val="24"/>
          <w:lang w:val="lv-LV"/>
        </w:rPr>
        <w:t>Likumprojekts</w:t>
      </w:r>
    </w:p>
    <w:p w14:paraId="70FC4A45" w14:textId="72496D24" w:rsidR="00D9173F" w:rsidRPr="00104238" w:rsidRDefault="00D9173F" w:rsidP="0028143B">
      <w:pPr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</w:p>
    <w:p w14:paraId="05ECFD63" w14:textId="77777777" w:rsidR="0096333C" w:rsidRPr="00104238" w:rsidRDefault="0096333C" w:rsidP="0028143B">
      <w:pPr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</w:p>
    <w:p w14:paraId="19BA36CC" w14:textId="3AC9DE2E" w:rsidR="00D9173F" w:rsidRPr="00104238" w:rsidRDefault="00D9173F" w:rsidP="002814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104238">
        <w:rPr>
          <w:rFonts w:ascii="Times New Roman" w:hAnsi="Times New Roman"/>
          <w:b/>
          <w:sz w:val="24"/>
          <w:szCs w:val="24"/>
          <w:lang w:val="lv-LV"/>
        </w:rPr>
        <w:t xml:space="preserve">Grozījumi </w:t>
      </w:r>
      <w:r w:rsidR="007A1F9F" w:rsidRPr="00104238">
        <w:rPr>
          <w:rFonts w:ascii="Times New Roman" w:hAnsi="Times New Roman"/>
          <w:b/>
          <w:sz w:val="24"/>
          <w:szCs w:val="24"/>
          <w:lang w:val="lv-LV"/>
        </w:rPr>
        <w:t>Liepājas speciālās ekonomiskās zonas likumā</w:t>
      </w:r>
    </w:p>
    <w:p w14:paraId="17D50229" w14:textId="6FC16374" w:rsidR="00D9173F" w:rsidRPr="00104238" w:rsidRDefault="00D9173F" w:rsidP="0028143B">
      <w:pPr>
        <w:pStyle w:val="naisf"/>
        <w:spacing w:before="0" w:after="0"/>
        <w:ind w:firstLine="0"/>
      </w:pPr>
    </w:p>
    <w:p w14:paraId="69114496" w14:textId="77777777" w:rsidR="0096333C" w:rsidRPr="00104238" w:rsidRDefault="0096333C" w:rsidP="0028143B">
      <w:pPr>
        <w:pStyle w:val="naisf"/>
        <w:spacing w:before="0" w:after="0"/>
        <w:ind w:firstLine="0"/>
      </w:pPr>
    </w:p>
    <w:p w14:paraId="0D557036" w14:textId="38FEDA37" w:rsidR="00CC10C2" w:rsidRPr="00104238" w:rsidRDefault="00D9173F" w:rsidP="0028143B">
      <w:pPr>
        <w:spacing w:after="0" w:line="240" w:lineRule="auto"/>
        <w:jc w:val="both"/>
        <w:rPr>
          <w:sz w:val="24"/>
          <w:szCs w:val="24"/>
          <w:lang w:val="lv-LV"/>
        </w:rPr>
      </w:pPr>
      <w:r w:rsidRPr="00104238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="00221089" w:rsidRPr="00104238">
        <w:rPr>
          <w:rFonts w:ascii="Times New Roman" w:eastAsia="Times New Roman" w:hAnsi="Times New Roman"/>
          <w:sz w:val="24"/>
          <w:szCs w:val="24"/>
          <w:lang w:val="lv-LV" w:eastAsia="lv-LV"/>
        </w:rPr>
        <w:t>Izdarīt Liepājas speciālās ekonomiskās zonas likumā (Latvijas Republikas Saeimas un Ministru Kabineta Ziņotājs, 1997, 6.nr.; 2001, 17.nr.; 2006, 12.nr.; Latvijas Vēstnesis, 2013, 61., 188.nr.; 2016, 71.nr.) šādus grozījumus:</w:t>
      </w:r>
    </w:p>
    <w:p w14:paraId="31E6D6FF" w14:textId="77777777" w:rsidR="0096333C" w:rsidRPr="00104238" w:rsidRDefault="0096333C" w:rsidP="0028143B">
      <w:pPr>
        <w:spacing w:after="0" w:line="240" w:lineRule="auto"/>
        <w:rPr>
          <w:sz w:val="24"/>
          <w:szCs w:val="24"/>
          <w:lang w:val="lv-LV"/>
        </w:rPr>
      </w:pPr>
    </w:p>
    <w:p w14:paraId="2A0FFB3F" w14:textId="77FFA3F0" w:rsidR="00D73DCD" w:rsidRPr="00104238" w:rsidRDefault="004E3F66" w:rsidP="0028143B">
      <w:pPr>
        <w:pStyle w:val="ListParagraph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  <w:lang w:val="lv-LV"/>
        </w:rPr>
      </w:pPr>
      <w:r w:rsidRPr="00104238">
        <w:rPr>
          <w:rFonts w:ascii="Times New Roman" w:hAnsi="Times New Roman"/>
          <w:sz w:val="24"/>
          <w:szCs w:val="24"/>
          <w:lang w:val="lv-LV"/>
        </w:rPr>
        <w:t xml:space="preserve">Izteikt </w:t>
      </w:r>
      <w:r w:rsidR="00A7068A" w:rsidRPr="00104238">
        <w:rPr>
          <w:rFonts w:ascii="Times New Roman" w:hAnsi="Times New Roman"/>
          <w:sz w:val="24"/>
          <w:szCs w:val="24"/>
          <w:lang w:val="lv-LV"/>
        </w:rPr>
        <w:t xml:space="preserve">8. </w:t>
      </w:r>
      <w:r w:rsidR="002D2EC3" w:rsidRPr="00104238">
        <w:rPr>
          <w:rFonts w:ascii="Times New Roman" w:hAnsi="Times New Roman"/>
          <w:sz w:val="24"/>
          <w:szCs w:val="24"/>
          <w:lang w:val="lv-LV"/>
        </w:rPr>
        <w:t>un 9.</w:t>
      </w:r>
      <w:r w:rsidR="00A7068A" w:rsidRPr="00104238">
        <w:rPr>
          <w:rFonts w:ascii="Times New Roman" w:hAnsi="Times New Roman"/>
          <w:sz w:val="24"/>
          <w:szCs w:val="24"/>
          <w:lang w:val="lv-LV"/>
        </w:rPr>
        <w:t>pant</w:t>
      </w:r>
      <w:r w:rsidRPr="00104238">
        <w:rPr>
          <w:rFonts w:ascii="Times New Roman" w:hAnsi="Times New Roman"/>
          <w:sz w:val="24"/>
          <w:szCs w:val="24"/>
          <w:lang w:val="lv-LV"/>
        </w:rPr>
        <w:t>u šādā redakcijā</w:t>
      </w:r>
      <w:r w:rsidR="00D73DCD" w:rsidRPr="00104238">
        <w:rPr>
          <w:rFonts w:ascii="Times New Roman" w:hAnsi="Times New Roman"/>
          <w:sz w:val="24"/>
          <w:szCs w:val="24"/>
          <w:lang w:val="lv-LV"/>
        </w:rPr>
        <w:t>:</w:t>
      </w:r>
      <w:r w:rsidR="00A7068A" w:rsidRPr="00104238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565B45CC" w14:textId="77777777" w:rsidR="00D73DCD" w:rsidRPr="00104238" w:rsidRDefault="00D73DCD" w:rsidP="0028143B">
      <w:pPr>
        <w:pStyle w:val="ListParagraph"/>
        <w:spacing w:after="0" w:line="240" w:lineRule="auto"/>
        <w:ind w:left="426"/>
        <w:rPr>
          <w:rFonts w:ascii="Times New Roman" w:hAnsi="Times New Roman"/>
          <w:sz w:val="24"/>
          <w:szCs w:val="24"/>
          <w:lang w:val="lv-LV"/>
        </w:rPr>
      </w:pPr>
    </w:p>
    <w:p w14:paraId="05962399" w14:textId="0E3391E2" w:rsidR="00335073" w:rsidRPr="00104238" w:rsidRDefault="00A7068A" w:rsidP="0028143B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104238">
        <w:rPr>
          <w:rFonts w:ascii="Times New Roman" w:hAnsi="Times New Roman"/>
          <w:sz w:val="24"/>
          <w:szCs w:val="24"/>
          <w:lang w:val="lv-LV"/>
        </w:rPr>
        <w:t>“</w:t>
      </w:r>
      <w:r w:rsidR="00335073" w:rsidRPr="00104238">
        <w:rPr>
          <w:rFonts w:ascii="Times New Roman" w:hAnsi="Times New Roman"/>
          <w:b/>
          <w:bCs/>
          <w:sz w:val="24"/>
          <w:szCs w:val="24"/>
          <w:lang w:val="lv-LV"/>
        </w:rPr>
        <w:t>8.pants</w:t>
      </w:r>
    </w:p>
    <w:p w14:paraId="6B705607" w14:textId="77777777" w:rsidR="00335073" w:rsidRPr="00104238" w:rsidRDefault="00335073" w:rsidP="0028143B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1D6AA5" w14:textId="2B056237" w:rsidR="00A7068A" w:rsidRPr="00104238" w:rsidRDefault="00A7068A" w:rsidP="0028143B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lv-LV"/>
        </w:rPr>
      </w:pPr>
      <w:r w:rsidRPr="00104238">
        <w:rPr>
          <w:rFonts w:ascii="Times New Roman" w:hAnsi="Times New Roman"/>
          <w:sz w:val="24"/>
          <w:szCs w:val="24"/>
          <w:lang w:val="lv-LV"/>
        </w:rPr>
        <w:t xml:space="preserve">(1) Liepājas speciālās ekonomiskās zonas pārvalde ir kapitālsabiedrība, kurā balsstiesīgās </w:t>
      </w:r>
      <w:r w:rsidR="00826725">
        <w:rPr>
          <w:rFonts w:ascii="Times New Roman" w:hAnsi="Times New Roman"/>
          <w:sz w:val="24"/>
          <w:szCs w:val="24"/>
          <w:lang w:val="lv-LV"/>
        </w:rPr>
        <w:t>kapitāla daļas (</w:t>
      </w:r>
      <w:r w:rsidRPr="00104238">
        <w:rPr>
          <w:rFonts w:ascii="Times New Roman" w:hAnsi="Times New Roman"/>
          <w:sz w:val="24"/>
          <w:szCs w:val="24"/>
          <w:lang w:val="lv-LV"/>
        </w:rPr>
        <w:t>akcijas</w:t>
      </w:r>
      <w:r w:rsidR="00826725">
        <w:rPr>
          <w:rFonts w:ascii="Times New Roman" w:hAnsi="Times New Roman"/>
          <w:sz w:val="24"/>
          <w:szCs w:val="24"/>
          <w:lang w:val="lv-LV"/>
        </w:rPr>
        <w:t>)</w:t>
      </w:r>
      <w:r w:rsidRPr="00104238">
        <w:rPr>
          <w:rFonts w:ascii="Times New Roman" w:hAnsi="Times New Roman"/>
          <w:sz w:val="24"/>
          <w:szCs w:val="24"/>
          <w:lang w:val="lv-LV"/>
        </w:rPr>
        <w:t xml:space="preserve"> pieder valstij un pašvaldībai</w:t>
      </w:r>
      <w:r w:rsidR="00CE7A8F" w:rsidRPr="00104238">
        <w:rPr>
          <w:rFonts w:ascii="Times New Roman" w:hAnsi="Times New Roman"/>
          <w:sz w:val="24"/>
          <w:szCs w:val="24"/>
          <w:lang w:val="lv-LV"/>
        </w:rPr>
        <w:t xml:space="preserve">. Šī kapitālsabiedrība </w:t>
      </w:r>
      <w:r w:rsidRPr="00104238">
        <w:rPr>
          <w:rFonts w:ascii="Times New Roman" w:hAnsi="Times New Roman"/>
          <w:sz w:val="24"/>
          <w:szCs w:val="24"/>
          <w:lang w:val="lv-LV"/>
        </w:rPr>
        <w:t xml:space="preserve">nodrošina </w:t>
      </w:r>
      <w:r w:rsidR="00CE7A8F" w:rsidRPr="00104238">
        <w:rPr>
          <w:rFonts w:ascii="Times New Roman" w:hAnsi="Times New Roman"/>
          <w:sz w:val="24"/>
          <w:szCs w:val="24"/>
          <w:lang w:val="lv-LV"/>
        </w:rPr>
        <w:t xml:space="preserve">Liepājas </w:t>
      </w:r>
      <w:r w:rsidRPr="00104238">
        <w:rPr>
          <w:rFonts w:ascii="Times New Roman" w:hAnsi="Times New Roman"/>
          <w:sz w:val="24"/>
          <w:szCs w:val="24"/>
          <w:lang w:val="lv-LV"/>
        </w:rPr>
        <w:t xml:space="preserve">speciālās ekonomiskās zonas funkciju īstenošanu </w:t>
      </w:r>
      <w:r w:rsidR="00CE7A8F" w:rsidRPr="00104238">
        <w:rPr>
          <w:rFonts w:ascii="Times New Roman" w:hAnsi="Times New Roman"/>
          <w:sz w:val="24"/>
          <w:szCs w:val="24"/>
          <w:lang w:val="lv-LV"/>
        </w:rPr>
        <w:t xml:space="preserve">Liepājas </w:t>
      </w:r>
      <w:r w:rsidRPr="00104238">
        <w:rPr>
          <w:rFonts w:ascii="Times New Roman" w:hAnsi="Times New Roman"/>
          <w:sz w:val="24"/>
          <w:szCs w:val="24"/>
          <w:lang w:val="lv-LV"/>
        </w:rPr>
        <w:t>speciālās ekonomiskās zonas teritorijā, kā arī Likumā par ostām paredzēto ostas pārvaldes funkciju īstenošanu Liepājas ostas teritorijā</w:t>
      </w:r>
      <w:r w:rsidR="00CE7A8F" w:rsidRPr="00104238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CE7A8F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tā atrodas Satiksmes ministrijas pārraudzībā attiecībā uz šajā likumā un Likumā par ostām noteikto ostas pārvaldes funkciju, uzdevumu un pienākumu īstenošanu</w:t>
      </w:r>
      <w:r w:rsidRPr="00104238">
        <w:rPr>
          <w:rFonts w:ascii="Times New Roman" w:hAnsi="Times New Roman"/>
          <w:sz w:val="24"/>
          <w:szCs w:val="24"/>
          <w:lang w:val="lv-LV"/>
        </w:rPr>
        <w:t>. Minētās kapitālsabiedrības kapitāla daļas (akcijas) nav atsavināmas vai ieķīlājamas.</w:t>
      </w:r>
    </w:p>
    <w:p w14:paraId="17987AC3" w14:textId="4FAA3F84" w:rsidR="00D73DCD" w:rsidRPr="00104238" w:rsidRDefault="00D73DCD" w:rsidP="0028143B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E6B428D" w14:textId="44894012" w:rsidR="00D73DCD" w:rsidRPr="00104238" w:rsidRDefault="00D73DCD" w:rsidP="0028143B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sz w:val="24"/>
          <w:szCs w:val="24"/>
          <w:lang w:val="lv-LV"/>
        </w:rPr>
        <w:t xml:space="preserve">(2) </w:t>
      </w:r>
      <w:r w:rsidR="00F218E4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Šā panta pirmajā daļā minētās kapitālsabiedrības</w:t>
      </w:r>
      <w:r w:rsidR="00826725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kapitāla daļu</w:t>
      </w:r>
      <w:r w:rsidR="00F218E4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</w:t>
      </w:r>
      <w:r w:rsidR="00826725">
        <w:rPr>
          <w:rFonts w:ascii="Times New Roman" w:hAnsi="Times New Roman"/>
          <w:bCs/>
          <w:color w:val="000000"/>
          <w:sz w:val="24"/>
          <w:szCs w:val="24"/>
          <w:lang w:val="lv-LV"/>
        </w:rPr>
        <w:t>(</w:t>
      </w: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akciju</w:t>
      </w:r>
      <w:r w:rsidR="00826725">
        <w:rPr>
          <w:rFonts w:ascii="Times New Roman" w:hAnsi="Times New Roman"/>
          <w:bCs/>
          <w:color w:val="000000"/>
          <w:sz w:val="24"/>
          <w:szCs w:val="24"/>
          <w:lang w:val="lv-LV"/>
        </w:rPr>
        <w:t>)</w:t>
      </w: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turētāja </w:t>
      </w:r>
      <w:r w:rsidR="00723089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no valsts puses ir Satiksmes ministrija, Finanšu ministrija, Ekonomikas ministrija un Vides aizsardzības un reģionālās attīstības ministrija.</w:t>
      </w:r>
      <w:r w:rsidR="00CA154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Valstij piederošās</w:t>
      </w:r>
      <w:r w:rsidR="00826725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kapitāla daļas</w:t>
      </w:r>
      <w:r w:rsidR="00CA154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</w:t>
      </w:r>
      <w:r w:rsidR="00826725">
        <w:rPr>
          <w:rFonts w:ascii="Times New Roman" w:hAnsi="Times New Roman"/>
          <w:bCs/>
          <w:color w:val="000000"/>
          <w:sz w:val="24"/>
          <w:szCs w:val="24"/>
          <w:lang w:val="lv-LV"/>
        </w:rPr>
        <w:t>(</w:t>
      </w:r>
      <w:r w:rsidR="00CA154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akcijas</w:t>
      </w:r>
      <w:r w:rsidR="00826725">
        <w:rPr>
          <w:rFonts w:ascii="Times New Roman" w:hAnsi="Times New Roman"/>
          <w:bCs/>
          <w:color w:val="000000"/>
          <w:sz w:val="24"/>
          <w:szCs w:val="24"/>
          <w:lang w:val="lv-LV"/>
        </w:rPr>
        <w:t>)</w:t>
      </w:r>
      <w:r w:rsidR="00CA154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tiek nodotas turējumā šādās daļās: Satiksmes ministrijas turējumā 40% no valstij piederoš</w:t>
      </w:r>
      <w:r w:rsidR="007323A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aj</w:t>
      </w:r>
      <w:r w:rsidR="00CA154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ām</w:t>
      </w:r>
      <w:r w:rsidR="00826725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kapitāla daļām</w:t>
      </w:r>
      <w:r w:rsidR="00CA154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</w:t>
      </w:r>
      <w:r w:rsidR="00826725">
        <w:rPr>
          <w:rFonts w:ascii="Times New Roman" w:hAnsi="Times New Roman"/>
          <w:bCs/>
          <w:color w:val="000000"/>
          <w:sz w:val="24"/>
          <w:szCs w:val="24"/>
          <w:lang w:val="lv-LV"/>
        </w:rPr>
        <w:t>(</w:t>
      </w:r>
      <w:r w:rsidR="00CA154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akcijām</w:t>
      </w:r>
      <w:r w:rsidR="00826725">
        <w:rPr>
          <w:rFonts w:ascii="Times New Roman" w:hAnsi="Times New Roman"/>
          <w:bCs/>
          <w:color w:val="000000"/>
          <w:sz w:val="24"/>
          <w:szCs w:val="24"/>
          <w:lang w:val="lv-LV"/>
        </w:rPr>
        <w:t>)</w:t>
      </w:r>
      <w:r w:rsidR="00CA154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, Finanšu ministrijas turējumā 20% no valstij piederoš</w:t>
      </w:r>
      <w:r w:rsidR="007323A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aj</w:t>
      </w:r>
      <w:r w:rsidR="00CA154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ām</w:t>
      </w:r>
      <w:r w:rsidR="00826725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kapitāla daļām</w:t>
      </w:r>
      <w:r w:rsidR="00CA154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</w:t>
      </w:r>
      <w:r w:rsidR="00826725">
        <w:rPr>
          <w:rFonts w:ascii="Times New Roman" w:hAnsi="Times New Roman"/>
          <w:bCs/>
          <w:color w:val="000000"/>
          <w:sz w:val="24"/>
          <w:szCs w:val="24"/>
          <w:lang w:val="lv-LV"/>
        </w:rPr>
        <w:t>(</w:t>
      </w:r>
      <w:r w:rsidR="00CA154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akcijām</w:t>
      </w:r>
      <w:r w:rsidR="00826725">
        <w:rPr>
          <w:rFonts w:ascii="Times New Roman" w:hAnsi="Times New Roman"/>
          <w:bCs/>
          <w:color w:val="000000"/>
          <w:sz w:val="24"/>
          <w:szCs w:val="24"/>
          <w:lang w:val="lv-LV"/>
        </w:rPr>
        <w:t>)</w:t>
      </w:r>
      <w:r w:rsidR="00CA154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, Ekonomikas ministrijas turējumā 20% no valstij piederoš</w:t>
      </w:r>
      <w:r w:rsidR="007323A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aj</w:t>
      </w:r>
      <w:r w:rsidR="00CA154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ām </w:t>
      </w:r>
      <w:r w:rsidR="00826725">
        <w:rPr>
          <w:rFonts w:ascii="Times New Roman" w:hAnsi="Times New Roman"/>
          <w:bCs/>
          <w:color w:val="000000"/>
          <w:sz w:val="24"/>
          <w:szCs w:val="24"/>
          <w:lang w:val="lv-LV"/>
        </w:rPr>
        <w:t>kapitāla daļām (</w:t>
      </w:r>
      <w:r w:rsidR="00CA154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akcijām</w:t>
      </w:r>
      <w:r w:rsidR="00826725">
        <w:rPr>
          <w:rFonts w:ascii="Times New Roman" w:hAnsi="Times New Roman"/>
          <w:bCs/>
          <w:color w:val="000000"/>
          <w:sz w:val="24"/>
          <w:szCs w:val="24"/>
          <w:lang w:val="lv-LV"/>
        </w:rPr>
        <w:t>)</w:t>
      </w:r>
      <w:r w:rsidR="00CA154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un Vides aizsardzības un reģionālās attīstības ministrijas turējumā 20% no valstij piederoš</w:t>
      </w:r>
      <w:r w:rsidR="007323A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aj</w:t>
      </w:r>
      <w:r w:rsidR="00CA154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ām </w:t>
      </w:r>
      <w:r w:rsidR="00826725">
        <w:rPr>
          <w:rFonts w:ascii="Times New Roman" w:hAnsi="Times New Roman"/>
          <w:bCs/>
          <w:color w:val="000000"/>
          <w:sz w:val="24"/>
          <w:szCs w:val="24"/>
          <w:lang w:val="lv-LV"/>
        </w:rPr>
        <w:t>kapitāla daļām (</w:t>
      </w:r>
      <w:r w:rsidR="00CA154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akcijām</w:t>
      </w:r>
      <w:r w:rsidR="00826725">
        <w:rPr>
          <w:rFonts w:ascii="Times New Roman" w:hAnsi="Times New Roman"/>
          <w:bCs/>
          <w:color w:val="000000"/>
          <w:sz w:val="24"/>
          <w:szCs w:val="24"/>
          <w:lang w:val="lv-LV"/>
        </w:rPr>
        <w:t>)</w:t>
      </w:r>
      <w:r w:rsidR="00CA154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.</w:t>
      </w:r>
    </w:p>
    <w:p w14:paraId="6C978445" w14:textId="0BBA2D01" w:rsidR="00723089" w:rsidRPr="00104238" w:rsidRDefault="00723089" w:rsidP="0028143B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</w:p>
    <w:p w14:paraId="005D32FE" w14:textId="1CCB6E31" w:rsidR="00723089" w:rsidRPr="00104238" w:rsidRDefault="00723089" w:rsidP="0028143B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(3) Šā panta pirmajā daļā minētās kapitālsabiedrības</w:t>
      </w:r>
      <w:r w:rsidR="00826725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kapitāla daļu</w:t>
      </w: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</w:t>
      </w:r>
      <w:r w:rsidR="00826725">
        <w:rPr>
          <w:rFonts w:ascii="Times New Roman" w:hAnsi="Times New Roman"/>
          <w:bCs/>
          <w:color w:val="000000"/>
          <w:sz w:val="24"/>
          <w:szCs w:val="24"/>
          <w:lang w:val="lv-LV"/>
        </w:rPr>
        <w:t>(</w:t>
      </w: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akciju</w:t>
      </w:r>
      <w:r w:rsidR="00826725">
        <w:rPr>
          <w:rFonts w:ascii="Times New Roman" w:hAnsi="Times New Roman"/>
          <w:bCs/>
          <w:color w:val="000000"/>
          <w:sz w:val="24"/>
          <w:szCs w:val="24"/>
          <w:lang w:val="lv-LV"/>
        </w:rPr>
        <w:t>)</w:t>
      </w: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turētāja no pašvaldības puses ir Liepājas pilsētas dome, kura</w:t>
      </w:r>
      <w:r w:rsidR="00CA154D" w:rsidRPr="00104238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 </w:t>
      </w:r>
      <w:r w:rsidR="00CA154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padomē var </w:t>
      </w:r>
      <w:r w:rsidR="00826725">
        <w:rPr>
          <w:rFonts w:ascii="Times New Roman" w:hAnsi="Times New Roman"/>
          <w:bCs/>
          <w:color w:val="000000"/>
          <w:sz w:val="24"/>
          <w:szCs w:val="24"/>
          <w:lang w:val="lv-LV"/>
        </w:rPr>
        <w:t>virzīt</w:t>
      </w:r>
      <w:r w:rsidR="00826725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</w:t>
      </w:r>
      <w:r w:rsidR="007323A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Liepājas </w:t>
      </w:r>
      <w:r w:rsidR="00CA154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komer</w:t>
      </w:r>
      <w:r w:rsidR="007323A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santu</w:t>
      </w:r>
      <w:r w:rsidR="00CA154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pārstāvi </w:t>
      </w: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Liepājas speciālās ekonomiskās zonas komercsabiedrību interešu pārstāvēšanai</w:t>
      </w:r>
      <w:r w:rsidR="007323A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, izvirzot šo pārstāvi pašvaldības noteiktā kārtībā</w:t>
      </w: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.</w:t>
      </w:r>
      <w:r w:rsidR="007323A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”</w:t>
      </w:r>
    </w:p>
    <w:p w14:paraId="4E41E6B4" w14:textId="513C74DC" w:rsidR="00A20C05" w:rsidRPr="00104238" w:rsidRDefault="00A20C05" w:rsidP="0028143B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</w:p>
    <w:p w14:paraId="401AD28D" w14:textId="39C22883" w:rsidR="00A20C05" w:rsidRPr="00104238" w:rsidRDefault="00A20C05" w:rsidP="00A6715E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Papildināt likumu ar 8.</w:t>
      </w:r>
      <w:r w:rsidRPr="00104238">
        <w:rPr>
          <w:rFonts w:ascii="Times New Roman" w:hAnsi="Times New Roman"/>
          <w:bCs/>
          <w:color w:val="000000"/>
          <w:sz w:val="24"/>
          <w:szCs w:val="24"/>
          <w:vertAlign w:val="superscript"/>
          <w:lang w:val="lv-LV"/>
        </w:rPr>
        <w:t>1</w:t>
      </w: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pantu šādā redakcijā:</w:t>
      </w:r>
    </w:p>
    <w:p w14:paraId="600C4EE0" w14:textId="77777777" w:rsidR="00A20C05" w:rsidRPr="00104238" w:rsidRDefault="00A20C05" w:rsidP="00A6715E">
      <w:pPr>
        <w:pStyle w:val="ListParagraph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</w:p>
    <w:p w14:paraId="533AD78B" w14:textId="1DD9B78E" w:rsidR="00A20C05" w:rsidRPr="00104238" w:rsidRDefault="00A20C05" w:rsidP="00A6715E">
      <w:pPr>
        <w:pStyle w:val="ListParagraph"/>
        <w:tabs>
          <w:tab w:val="left" w:pos="709"/>
          <w:tab w:val="left" w:pos="993"/>
        </w:tabs>
        <w:spacing w:after="0" w:line="240" w:lineRule="auto"/>
        <w:ind w:left="426" w:firstLine="709"/>
        <w:jc w:val="both"/>
        <w:rPr>
          <w:rFonts w:ascii="Times New Roman" w:hAnsi="Times New Roman"/>
          <w:b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“</w:t>
      </w:r>
      <w:r w:rsidRPr="00104238">
        <w:rPr>
          <w:rFonts w:ascii="Times New Roman" w:hAnsi="Times New Roman"/>
          <w:b/>
          <w:color w:val="000000"/>
          <w:sz w:val="24"/>
          <w:szCs w:val="24"/>
          <w:lang w:val="lv-LV"/>
        </w:rPr>
        <w:t>8.</w:t>
      </w:r>
      <w:r w:rsidRPr="00104238">
        <w:rPr>
          <w:rFonts w:ascii="Times New Roman" w:hAnsi="Times New Roman"/>
          <w:b/>
          <w:color w:val="000000"/>
          <w:sz w:val="24"/>
          <w:szCs w:val="24"/>
          <w:vertAlign w:val="superscript"/>
          <w:lang w:val="lv-LV"/>
        </w:rPr>
        <w:t>1</w:t>
      </w:r>
      <w:r w:rsidRPr="00104238">
        <w:rPr>
          <w:rFonts w:ascii="Times New Roman" w:hAnsi="Times New Roman"/>
          <w:b/>
          <w:color w:val="000000"/>
          <w:sz w:val="24"/>
          <w:szCs w:val="24"/>
          <w:lang w:val="lv-LV"/>
        </w:rPr>
        <w:t xml:space="preserve">pants </w:t>
      </w:r>
    </w:p>
    <w:p w14:paraId="136BC61E" w14:textId="241CF003" w:rsidR="00A20C05" w:rsidRPr="00104238" w:rsidRDefault="00A20C05" w:rsidP="00A6715E">
      <w:pPr>
        <w:pStyle w:val="ListParagraph"/>
        <w:tabs>
          <w:tab w:val="left" w:pos="709"/>
          <w:tab w:val="left" w:pos="993"/>
        </w:tabs>
        <w:spacing w:after="0" w:line="240" w:lineRule="auto"/>
        <w:ind w:left="426" w:firstLine="709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Papildus Publiskas personas kapitāla daļu un kapitālsabiedrību pārvaldības likumā</w:t>
      </w:r>
      <w:r w:rsidRPr="00104238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 noteiktajam kapitālsabiedrības, kura nodrošina Liepājas speciālās ekonomiskās zonas funkciju īstenošanu Liepājas speciālās ekonomiskā zonā, akcionāru sapulce pieņem lēmumus par:</w:t>
      </w:r>
    </w:p>
    <w:p w14:paraId="69B4B3AB" w14:textId="77777777" w:rsidR="00CA154D" w:rsidRPr="00104238" w:rsidRDefault="00CA154D" w:rsidP="00CA154D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104238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1) </w:t>
      </w:r>
      <w:r w:rsidRPr="00104238">
        <w:rPr>
          <w:rFonts w:ascii="Times New Roman" w:hAnsi="Times New Roman"/>
          <w:sz w:val="24"/>
          <w:szCs w:val="24"/>
          <w:lang w:val="lv-LV"/>
        </w:rPr>
        <w:t>vidēja termiņa darbības stratēģijas apstiprināšanu un īstenošanas uzraudzību</w:t>
      </w:r>
      <w:r w:rsidRPr="00104238">
        <w:rPr>
          <w:rFonts w:ascii="Times New Roman" w:eastAsia="Times New Roman" w:hAnsi="Times New Roman"/>
          <w:sz w:val="24"/>
          <w:szCs w:val="24"/>
          <w:lang w:val="lv-LV" w:eastAsia="en-GB"/>
        </w:rPr>
        <w:t>;</w:t>
      </w:r>
    </w:p>
    <w:p w14:paraId="71467D30" w14:textId="2C03D28A" w:rsidR="00CA154D" w:rsidRPr="00104238" w:rsidRDefault="00CA154D" w:rsidP="00CA154D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104238">
        <w:rPr>
          <w:rFonts w:ascii="Times New Roman" w:eastAsia="Times New Roman" w:hAnsi="Times New Roman"/>
          <w:sz w:val="24"/>
          <w:szCs w:val="24"/>
          <w:lang w:val="lv-LV" w:eastAsia="en-GB"/>
        </w:rPr>
        <w:t>2) vidēja termiņa budžeta apstiprināšanu;</w:t>
      </w:r>
    </w:p>
    <w:p w14:paraId="175C043A" w14:textId="3BC78BAF" w:rsidR="00A20C05" w:rsidRPr="00104238" w:rsidRDefault="00CA154D" w:rsidP="00CA154D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104238">
        <w:rPr>
          <w:rFonts w:ascii="Times New Roman" w:eastAsia="Times New Roman" w:hAnsi="Times New Roman"/>
          <w:sz w:val="24"/>
          <w:szCs w:val="24"/>
          <w:lang w:val="lv-LV" w:eastAsia="en-GB"/>
        </w:rPr>
        <w:t>3) iekšējās kontroles sistēmas apstiprināšanu.”</w:t>
      </w:r>
    </w:p>
    <w:p w14:paraId="53E780EB" w14:textId="3E2D828F" w:rsidR="00415C1E" w:rsidRDefault="00415C1E" w:rsidP="00A6715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</w:p>
    <w:p w14:paraId="72F68E00" w14:textId="304B53C2" w:rsidR="00636EF6" w:rsidRDefault="00636EF6" w:rsidP="00636EF6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bCs/>
          <w:color w:val="000000"/>
          <w:sz w:val="24"/>
          <w:szCs w:val="24"/>
          <w:lang w:val="lv-LV"/>
        </w:rPr>
        <w:t>Izteikt 9.pantu šādā redakcijā:</w:t>
      </w:r>
    </w:p>
    <w:p w14:paraId="3CA2FCA9" w14:textId="77777777" w:rsidR="00636EF6" w:rsidRPr="00104238" w:rsidRDefault="00636EF6" w:rsidP="00F46A5A">
      <w:pPr>
        <w:pStyle w:val="ListParagraph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</w:p>
    <w:p w14:paraId="609E4BCA" w14:textId="4996FEA5" w:rsidR="00335073" w:rsidRPr="00104238" w:rsidRDefault="00636EF6" w:rsidP="00335073">
      <w:pPr>
        <w:pStyle w:val="ListParagraph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b/>
          <w:color w:val="000000"/>
          <w:sz w:val="24"/>
          <w:szCs w:val="24"/>
          <w:lang w:val="lv-LV"/>
        </w:rPr>
        <w:t>“</w:t>
      </w:r>
      <w:r w:rsidR="00415C1E" w:rsidRPr="00104238">
        <w:rPr>
          <w:rFonts w:ascii="Times New Roman" w:hAnsi="Times New Roman"/>
          <w:b/>
          <w:color w:val="000000"/>
          <w:sz w:val="24"/>
          <w:szCs w:val="24"/>
          <w:lang w:val="lv-LV"/>
        </w:rPr>
        <w:t>9. pant</w:t>
      </w:r>
      <w:r w:rsidR="009635EB" w:rsidRPr="00104238">
        <w:rPr>
          <w:rFonts w:ascii="Times New Roman" w:hAnsi="Times New Roman"/>
          <w:b/>
          <w:color w:val="000000"/>
          <w:sz w:val="24"/>
          <w:szCs w:val="24"/>
          <w:lang w:val="lv-LV"/>
        </w:rPr>
        <w:t>s</w:t>
      </w:r>
      <w:r w:rsidR="00415C1E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</w:t>
      </w:r>
    </w:p>
    <w:p w14:paraId="0013A403" w14:textId="77777777" w:rsidR="00335073" w:rsidRPr="00104238" w:rsidRDefault="00335073" w:rsidP="008803FB">
      <w:pPr>
        <w:pStyle w:val="ListParagraph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</w:p>
    <w:p w14:paraId="5CB7D028" w14:textId="59BD9BF6" w:rsidR="00EA4097" w:rsidRPr="00104238" w:rsidRDefault="00EA4097" w:rsidP="008803FB">
      <w:pPr>
        <w:pStyle w:val="ListParagraph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lastRenderedPageBreak/>
        <w:t>(1) Liepājas speciālā ekonomiskās zonas pārvalde veic šādas funkcijas:</w:t>
      </w:r>
    </w:p>
    <w:p w14:paraId="73203A2E" w14:textId="558A23B5" w:rsidR="00EA4097" w:rsidRPr="00104238" w:rsidRDefault="00EA4097" w:rsidP="0028143B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slēdz līgumus ar Liepājas speciālās ekonomiskās zonas ieguldītājiem par ieguldījumiem un komercsabiedrību darbību Liepājas speciālās ekonomiskās zonas teritorijā;</w:t>
      </w:r>
    </w:p>
    <w:p w14:paraId="2F88B1CB" w14:textId="6285BB06" w:rsidR="00EA4097" w:rsidRPr="00104238" w:rsidRDefault="00EA4097" w:rsidP="0028143B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slēdz līgumus ar Liepājas speciālās ekonomiskās zonas komercsabiedrībām par to komercdarbību Liepājas speciālās ekonomiskās zonas teritorijā;</w:t>
      </w:r>
    </w:p>
    <w:p w14:paraId="3F64CFEA" w14:textId="450332E7" w:rsidR="00EA4097" w:rsidRPr="00104238" w:rsidRDefault="00EA4097" w:rsidP="0028143B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izsniedz Liepājas speciālās ekonomiskās zonas komercsabiedrībām apliecības par tiesībām piemērot likumā "Par nodokļu piemērošanu brīvostās un speciālajās ekonomiskajās zonās" paredzētos nodokļu atvieglojumus;</w:t>
      </w:r>
    </w:p>
    <w:p w14:paraId="26C4934C" w14:textId="3A70F16E" w:rsidR="00EA4097" w:rsidRPr="00104238" w:rsidRDefault="00EA4097" w:rsidP="0028143B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nosaka brīvās zonas un to robežas, saskaņojot ar Valsts ieņēmumu dienestu šo zonu atbilstību brīvās zonas režīma ieviešanai;</w:t>
      </w:r>
    </w:p>
    <w:p w14:paraId="19EAE234" w14:textId="64EA8B93" w:rsidR="00EA4097" w:rsidRPr="00104238" w:rsidRDefault="00EA4097" w:rsidP="0028143B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slēdz līgumus par Liepājas speciālās ekonomiskās zonas teritorijā esošās zemes iznomāšanu</w:t>
      </w:r>
      <w:r w:rsidR="00096033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, apbūves tiesību piešķiršanu, </w:t>
      </w: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atsavināšanu, izņemot ostas zemes atsavināšanu, kā arī šajā likumā norādītos gadījumus, kad zemes un cita nekustamā īpašuma privatizāciju Liepājas speciālās ekonomiskās zonas teritorijā veic citas institūcijas;</w:t>
      </w:r>
    </w:p>
    <w:p w14:paraId="2C958F5C" w14:textId="735351F6" w:rsidR="00EA4097" w:rsidRPr="00104238" w:rsidRDefault="00EA4097" w:rsidP="0028143B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slēdz līgumus ar Liepājas speciālās ekonomiskās zonas komercsabiedrībām par atsevišķu saimniecisko funkciju vispārēju nodošanu tām atsevišķās Liepājas speciālās ekonomiskās zonas apkalpošanas jomās vai atsevišķās Liepājas speciālās ekonomiskās zonas teritorijas daļās;</w:t>
      </w:r>
    </w:p>
    <w:p w14:paraId="5E7C4D44" w14:textId="752545FA" w:rsidR="00EA4097" w:rsidRPr="00104238" w:rsidRDefault="00EA4097" w:rsidP="0028143B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kontrolē noslēgto līgumu izpildi;</w:t>
      </w:r>
    </w:p>
    <w:p w14:paraId="049E62DE" w14:textId="0638A529" w:rsidR="00EA4097" w:rsidRPr="00104238" w:rsidRDefault="00D36F02" w:rsidP="0028143B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hanging="306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veic normatīvajos aktos noteiktos brīvās zonas administrācijas pienākumus Liepājas speciālās ekonomiskās zonas teritorijā;</w:t>
      </w:r>
    </w:p>
    <w:p w14:paraId="4624DBE1" w14:textId="744472D8" w:rsidR="00D36F02" w:rsidRPr="00104238" w:rsidRDefault="00D36F02" w:rsidP="0028143B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hanging="306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organizē Liepājas speciālās ekonomiskās zonas izpēti un </w:t>
      </w:r>
      <w:proofErr w:type="spellStart"/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izvērtējumu</w:t>
      </w:r>
      <w:proofErr w:type="spellEnd"/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, izplata informāciju un veic tirgus izpēti ieguldītāju piesaistei;</w:t>
      </w:r>
    </w:p>
    <w:p w14:paraId="00F6B74B" w14:textId="77213FF5" w:rsidR="00D36F02" w:rsidRPr="00104238" w:rsidRDefault="00D36F02" w:rsidP="003D542A">
      <w:pPr>
        <w:pStyle w:val="ListParagraph"/>
        <w:numPr>
          <w:ilvl w:val="0"/>
          <w:numId w:val="4"/>
        </w:numPr>
        <w:tabs>
          <w:tab w:val="left" w:pos="1134"/>
          <w:tab w:val="left" w:pos="1560"/>
        </w:tabs>
        <w:spacing w:after="0" w:line="240" w:lineRule="auto"/>
        <w:ind w:hanging="306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organizē ieguldītāju piesaisti pašu spēkiem un slēdzot līgumus ar speciālām aģentūrām un komercsabiedrībām;</w:t>
      </w:r>
    </w:p>
    <w:p w14:paraId="519F939D" w14:textId="383DABA0" w:rsidR="00D36F02" w:rsidRPr="00104238" w:rsidRDefault="00D36F02" w:rsidP="008803FB">
      <w:pPr>
        <w:pStyle w:val="ListParagraph"/>
        <w:numPr>
          <w:ilvl w:val="0"/>
          <w:numId w:val="4"/>
        </w:numPr>
        <w:tabs>
          <w:tab w:val="left" w:pos="1134"/>
          <w:tab w:val="left" w:pos="1560"/>
        </w:tabs>
        <w:spacing w:after="0" w:line="240" w:lineRule="auto"/>
        <w:ind w:hanging="306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organizē infrastruktūras izveidošanu un komunikāciju izbūvi Liepājas speciālās ekonomiskās zonas teritorijā;</w:t>
      </w:r>
    </w:p>
    <w:p w14:paraId="30EDFC08" w14:textId="43C28B14" w:rsidR="00D36F02" w:rsidRPr="00104238" w:rsidRDefault="00D36F02" w:rsidP="008803FB">
      <w:pPr>
        <w:pStyle w:val="ListParagraph"/>
        <w:numPr>
          <w:ilvl w:val="0"/>
          <w:numId w:val="4"/>
        </w:numPr>
        <w:tabs>
          <w:tab w:val="left" w:pos="1134"/>
          <w:tab w:val="left" w:pos="1560"/>
        </w:tabs>
        <w:spacing w:after="0" w:line="240" w:lineRule="auto"/>
        <w:ind w:hanging="306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nodrošina pakalpojumu kompleksu Liepājas speciālās ekonomiskās zonas ieguldītājiem un Liepājas speciālās ekonomiskās zonas komercsabiedrībām.</w:t>
      </w:r>
    </w:p>
    <w:p w14:paraId="5466A292" w14:textId="4DDD8432" w:rsidR="00D36F02" w:rsidRPr="00104238" w:rsidRDefault="003D6B14" w:rsidP="003D6B14">
      <w:pPr>
        <w:pStyle w:val="ListParagraph"/>
        <w:numPr>
          <w:ilvl w:val="0"/>
          <w:numId w:val="4"/>
        </w:numPr>
        <w:tabs>
          <w:tab w:val="left" w:pos="1134"/>
          <w:tab w:val="left" w:pos="1560"/>
        </w:tabs>
        <w:spacing w:after="0" w:line="240" w:lineRule="auto"/>
        <w:ind w:hanging="306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izlemj arī citus jautājumus, kas ietilpst tās kompetencē saskaņā ar šo likumu, Likumu par ostām un citiem normatīvajiem aktiem</w:t>
      </w:r>
      <w:r w:rsidR="00D36F02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.</w:t>
      </w:r>
      <w:r w:rsidR="00501A99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”</w:t>
      </w:r>
    </w:p>
    <w:p w14:paraId="12DEB07A" w14:textId="77777777" w:rsidR="0096333C" w:rsidRPr="00104238" w:rsidRDefault="0096333C" w:rsidP="0028143B">
      <w:pPr>
        <w:pStyle w:val="ListParagraph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</w:p>
    <w:p w14:paraId="3C2B078F" w14:textId="3C72E267" w:rsidR="0096333C" w:rsidRPr="00104238" w:rsidRDefault="00D73DCD" w:rsidP="0028143B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Izslēgt</w:t>
      </w:r>
      <w:r w:rsidR="00FB6252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10., 11. un 12.</w:t>
      </w: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pantu.</w:t>
      </w:r>
    </w:p>
    <w:p w14:paraId="1E8B0A29" w14:textId="77777777" w:rsidR="00382C1C" w:rsidRPr="00104238" w:rsidRDefault="00382C1C" w:rsidP="0028143B">
      <w:pPr>
        <w:pStyle w:val="ListParagraph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</w:p>
    <w:p w14:paraId="7160C46C" w14:textId="7837D5D9" w:rsidR="00FB6252" w:rsidRPr="00104238" w:rsidRDefault="00FB6252" w:rsidP="0028143B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13. pantā:</w:t>
      </w:r>
    </w:p>
    <w:p w14:paraId="40DE0C7B" w14:textId="1BB7120B" w:rsidR="00FB6252" w:rsidRPr="00104238" w:rsidRDefault="00501A99" w:rsidP="0028143B">
      <w:pPr>
        <w:pStyle w:val="ListParagraph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p</w:t>
      </w:r>
      <w:r w:rsidR="00FB6252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irmā</w:t>
      </w: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s</w:t>
      </w:r>
      <w:r w:rsidR="00FB6252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daļ</w:t>
      </w: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as ievaddaļā </w:t>
      </w:r>
      <w:r w:rsidR="00FB6252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</w:t>
      </w: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aizstāt </w:t>
      </w:r>
      <w:r w:rsidR="00FB6252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vārdus “speciālo budžetu veido” ar </w:t>
      </w: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vārdiem </w:t>
      </w:r>
      <w:r w:rsidR="00FB6252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“finanšu līdzekļu avoti</w:t>
      </w:r>
      <w:r w:rsidR="00847AAC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ir</w:t>
      </w:r>
      <w:r w:rsidR="00FB6252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”</w:t>
      </w: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;</w:t>
      </w:r>
    </w:p>
    <w:p w14:paraId="2D334611" w14:textId="2313C63B" w:rsidR="00FB6252" w:rsidRPr="00104238" w:rsidRDefault="00FB6252" w:rsidP="0028143B">
      <w:pPr>
        <w:pStyle w:val="ListParagraph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</w:p>
    <w:p w14:paraId="1C9BF3E7" w14:textId="34E0A840" w:rsidR="002A511B" w:rsidRPr="00104238" w:rsidRDefault="00501A99" w:rsidP="0028143B">
      <w:pPr>
        <w:pStyle w:val="ListParagraph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s</w:t>
      </w:r>
      <w:r w:rsidR="00FB6252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vītrot otro daļu.</w:t>
      </w:r>
    </w:p>
    <w:p w14:paraId="3204D683" w14:textId="77777777" w:rsidR="00FB6252" w:rsidRPr="00104238" w:rsidRDefault="00FB6252" w:rsidP="0028143B">
      <w:pPr>
        <w:pStyle w:val="ListParagraph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</w:p>
    <w:p w14:paraId="1FB06C4B" w14:textId="48CE5404" w:rsidR="00F07F25" w:rsidRDefault="00221089" w:rsidP="0028143B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44. pant</w:t>
      </w:r>
      <w:r w:rsidR="00F07F25">
        <w:rPr>
          <w:rFonts w:ascii="Times New Roman" w:hAnsi="Times New Roman"/>
          <w:bCs/>
          <w:color w:val="000000"/>
          <w:sz w:val="24"/>
          <w:szCs w:val="24"/>
          <w:lang w:val="lv-LV"/>
        </w:rPr>
        <w:t>ā:</w:t>
      </w:r>
    </w:p>
    <w:p w14:paraId="1F5D2257" w14:textId="2E7A01EF" w:rsidR="002A511B" w:rsidRDefault="00221089" w:rsidP="00F07F25">
      <w:pPr>
        <w:pStyle w:val="ListParagraph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pirmajā</w:t>
      </w:r>
      <w:r w:rsidR="00636EF6">
        <w:rPr>
          <w:rFonts w:ascii="Times New Roman" w:hAnsi="Times New Roman"/>
          <w:bCs/>
          <w:color w:val="000000"/>
          <w:sz w:val="24"/>
          <w:szCs w:val="24"/>
          <w:lang w:val="lv-LV"/>
        </w:rPr>
        <w:t>, otrajā un trešajā</w:t>
      </w: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daļā vārdu “rīcībā”</w:t>
      </w:r>
      <w:r w:rsidR="00D02374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aizstāt</w:t>
      </w: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ar </w:t>
      </w:r>
      <w:r w:rsidR="00501A99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vārdu </w:t>
      </w: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“pārvaldīšanā”</w:t>
      </w:r>
      <w:r w:rsidR="00F07F25">
        <w:rPr>
          <w:rFonts w:ascii="Times New Roman" w:hAnsi="Times New Roman"/>
          <w:bCs/>
          <w:color w:val="000000"/>
          <w:sz w:val="24"/>
          <w:szCs w:val="24"/>
          <w:lang w:val="lv-LV"/>
        </w:rPr>
        <w:t>;</w:t>
      </w:r>
    </w:p>
    <w:p w14:paraId="4843B5BC" w14:textId="689FC88F" w:rsidR="00F07F25" w:rsidRDefault="00F07F25" w:rsidP="00F07F25">
      <w:pPr>
        <w:pStyle w:val="ListParagraph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</w:p>
    <w:p w14:paraId="6315CB9C" w14:textId="19A8F78E" w:rsidR="002A511B" w:rsidRPr="00104238" w:rsidRDefault="00F07F25" w:rsidP="0028143B">
      <w:pPr>
        <w:pStyle w:val="ListParagraph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bCs/>
          <w:color w:val="000000"/>
          <w:sz w:val="24"/>
          <w:szCs w:val="24"/>
          <w:lang w:val="lv-LV"/>
        </w:rPr>
        <w:t>ceturtajā daļā vāru “</w:t>
      </w:r>
      <w:r w:rsidR="00D02374">
        <w:rPr>
          <w:rFonts w:ascii="Times New Roman" w:hAnsi="Times New Roman"/>
          <w:bCs/>
          <w:color w:val="000000"/>
          <w:sz w:val="24"/>
          <w:szCs w:val="24"/>
          <w:lang w:val="lv-LV"/>
        </w:rPr>
        <w:t>valdes” aizstāt ar vārdu “pārvaldes”.</w:t>
      </w:r>
    </w:p>
    <w:p w14:paraId="62017527" w14:textId="77777777" w:rsidR="00F07F25" w:rsidRDefault="00F07F25" w:rsidP="00A140AD">
      <w:pPr>
        <w:pStyle w:val="ListParagraph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</w:p>
    <w:p w14:paraId="4BA1A57E" w14:textId="118E6FB9" w:rsidR="0096333C" w:rsidRPr="00104238" w:rsidRDefault="0096333C" w:rsidP="0028143B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Papildināt pārejas noteikumus ar 3., 4.</w:t>
      </w:r>
      <w:r w:rsidR="006801A3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un </w:t>
      </w:r>
      <w:r w:rsidR="00A2498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5</w:t>
      </w:r>
      <w:r w:rsidR="006801A3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.</w:t>
      </w: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punktu šādā redakcijā:</w:t>
      </w:r>
    </w:p>
    <w:p w14:paraId="1356B83B" w14:textId="77777777" w:rsidR="0096333C" w:rsidRPr="00104238" w:rsidRDefault="0096333C" w:rsidP="0028143B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</w:p>
    <w:p w14:paraId="00E660AA" w14:textId="0ED9D27F" w:rsidR="0096333C" w:rsidRPr="00104238" w:rsidRDefault="0096333C" w:rsidP="002814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“3.</w:t>
      </w:r>
      <w:r w:rsidRPr="00104238">
        <w:rPr>
          <w:lang w:val="lv-LV"/>
        </w:rPr>
        <w:t xml:space="preserve"> </w:t>
      </w:r>
      <w:r w:rsidR="00D73DCD" w:rsidRPr="00104238">
        <w:rPr>
          <w:rFonts w:ascii="Times New Roman" w:hAnsi="Times New Roman"/>
          <w:sz w:val="24"/>
          <w:szCs w:val="24"/>
          <w:lang w:val="lv-LV"/>
        </w:rPr>
        <w:t>Ministru kabinets</w:t>
      </w:r>
      <w:r w:rsidR="00391E9F" w:rsidRPr="00104238">
        <w:rPr>
          <w:rFonts w:ascii="Times New Roman" w:hAnsi="Times New Roman"/>
          <w:sz w:val="24"/>
          <w:szCs w:val="24"/>
          <w:lang w:val="lv-LV"/>
        </w:rPr>
        <w:t xml:space="preserve"> un Liepājas pilsētas dome</w:t>
      </w:r>
      <w:r w:rsidR="00D73DCD" w:rsidRPr="0010423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00836" w:rsidRPr="00104238">
        <w:rPr>
          <w:rFonts w:ascii="Times New Roman" w:hAnsi="Times New Roman"/>
          <w:sz w:val="24"/>
          <w:szCs w:val="24"/>
          <w:lang w:val="lv-LV"/>
        </w:rPr>
        <w:t xml:space="preserve">deviņu </w:t>
      </w:r>
      <w:r w:rsidR="00D73DCD" w:rsidRPr="00104238">
        <w:rPr>
          <w:rFonts w:ascii="Times New Roman" w:hAnsi="Times New Roman"/>
          <w:sz w:val="24"/>
          <w:szCs w:val="24"/>
          <w:lang w:val="lv-LV"/>
        </w:rPr>
        <w:t>mēnešu laikā no šā likuma spēkā stāšanās dienas izveido kapitālsabiedrību, kura īstenos Liepājas speciālās ekonomiskās zonas pārvaldīšanu, tās pamatkapitālā ieguldot Liepājas speciālajai zonai piederošo mantu un aktīvus</w:t>
      </w:r>
      <w:r w:rsidR="00D36F02" w:rsidRPr="0010423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36F02" w:rsidRPr="00104238">
        <w:rPr>
          <w:rFonts w:ascii="Times New Roman" w:hAnsi="Times New Roman"/>
          <w:sz w:val="24"/>
          <w:szCs w:val="24"/>
          <w:lang w:val="lv-LV"/>
        </w:rPr>
        <w:lastRenderedPageBreak/>
        <w:t xml:space="preserve">no valsts puses un pašvaldībai piederošu mantu un aktīvus </w:t>
      </w:r>
      <w:r w:rsidR="00391E9F" w:rsidRPr="00104238">
        <w:rPr>
          <w:rFonts w:ascii="Times New Roman" w:hAnsi="Times New Roman"/>
          <w:sz w:val="24"/>
          <w:szCs w:val="24"/>
          <w:lang w:val="lv-LV"/>
        </w:rPr>
        <w:t>zonas</w:t>
      </w:r>
      <w:r w:rsidR="00D36F02" w:rsidRPr="00104238">
        <w:rPr>
          <w:rFonts w:ascii="Times New Roman" w:hAnsi="Times New Roman"/>
          <w:sz w:val="24"/>
          <w:szCs w:val="24"/>
          <w:lang w:val="lv-LV"/>
        </w:rPr>
        <w:t xml:space="preserve"> teritorijā no pašvaldības puses</w:t>
      </w:r>
      <w:r w:rsidR="00600836" w:rsidRPr="0010423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00836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ar nosacījumu, ka valsts pusei ir ne mazāk kā divas trešdaļas kapitāldaļu</w:t>
      </w:r>
      <w:r w:rsidR="00D36F02" w:rsidRPr="00104238">
        <w:rPr>
          <w:rFonts w:ascii="Times New Roman" w:hAnsi="Times New Roman"/>
          <w:sz w:val="24"/>
          <w:szCs w:val="24"/>
          <w:lang w:val="lv-LV"/>
        </w:rPr>
        <w:t>.</w:t>
      </w:r>
    </w:p>
    <w:p w14:paraId="21171A33" w14:textId="77777777" w:rsidR="0096333C" w:rsidRPr="00104238" w:rsidRDefault="0096333C" w:rsidP="0028143B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</w:p>
    <w:p w14:paraId="0E54D21A" w14:textId="556D0D67" w:rsidR="0096333C" w:rsidRPr="00104238" w:rsidRDefault="0096333C" w:rsidP="0028143B">
      <w:pPr>
        <w:tabs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4. </w:t>
      </w:r>
      <w:r w:rsidR="00600836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Deviņu </w:t>
      </w:r>
      <w:r w:rsidR="00382C1C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mēnešu laikā no šā likuma spēkā stāšanās dienas likvidēt atvasināto publisko personu – Liepājas speciālās ekonomiskās zonas pārvaldi un nodot attiecīgās atvasinātās publisk</w:t>
      </w:r>
      <w:r w:rsidR="00391E9F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o tiesību juridiskās</w:t>
      </w:r>
      <w:r w:rsidR="00382C1C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personas tiesības, saistības, mantu un finanšu līdzekļus kopā ar visiem saistītajiem pienākumiem, tiesībām un apgrūtinājumiem, </w:t>
      </w:r>
      <w:r w:rsidR="002B6826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tostarp</w:t>
      </w:r>
      <w:r w:rsidR="00382C1C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kredītsaistības, šā likuma 8. pant</w:t>
      </w:r>
      <w:r w:rsidR="002B6826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a pirmajā daļā</w:t>
      </w:r>
      <w:r w:rsidR="00382C1C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minētajai kapitālsabiedrībai.</w:t>
      </w:r>
    </w:p>
    <w:p w14:paraId="6177E6FF" w14:textId="4FE5B6FA" w:rsidR="00D36F02" w:rsidRPr="00104238" w:rsidRDefault="00D36F02" w:rsidP="0028143B">
      <w:pPr>
        <w:tabs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</w:p>
    <w:p w14:paraId="3AA975B4" w14:textId="1AAAA1A0" w:rsidR="00D36F02" w:rsidRPr="00104238" w:rsidRDefault="00D36F02" w:rsidP="00A6715E">
      <w:pPr>
        <w:tabs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5. Liepājas speciālās ekonomiskās zonas pārvaldes kredītsaistību pārņemšanas nodrošināšanai, finanšu ministrs</w:t>
      </w:r>
      <w:r w:rsidR="00600836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 </w:t>
      </w:r>
      <w:r w:rsidR="0009262D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 xml:space="preserve">Latvijas Republikas vārdā var izsniegt  valsts aizdevumu kredītiestāžu izsniegto būvniecības kredītu pārkreditēšanai un uzsākto būvniecības projektu kreditēšanai, </w:t>
      </w:r>
      <w:r w:rsidR="0009262D" w:rsidRPr="00104238">
        <w:rPr>
          <w:rFonts w:ascii="Times New Roman" w:eastAsia="Times New Roman" w:hAnsi="Times New Roman"/>
          <w:sz w:val="24"/>
          <w:szCs w:val="24"/>
          <w:lang w:val="lv-LV" w:eastAsia="lv-LV"/>
        </w:rPr>
        <w:t>pamatojoties uz Ministru kabineta lēmumu, kurā noteikti valsts aizdevuma izsniegšanas nosacījumi.</w:t>
      </w:r>
      <w:r w:rsidR="00F218E4" w:rsidRPr="00104238">
        <w:rPr>
          <w:rFonts w:ascii="Times New Roman" w:hAnsi="Times New Roman"/>
          <w:bCs/>
          <w:color w:val="000000"/>
          <w:sz w:val="24"/>
          <w:szCs w:val="24"/>
          <w:lang w:val="lv-LV"/>
        </w:rPr>
        <w:t>”</w:t>
      </w:r>
    </w:p>
    <w:p w14:paraId="670CD791" w14:textId="77777777" w:rsidR="0096333C" w:rsidRPr="00104238" w:rsidRDefault="0096333C" w:rsidP="0028143B">
      <w:pPr>
        <w:tabs>
          <w:tab w:val="left" w:pos="993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val="lv-LV"/>
        </w:rPr>
      </w:pPr>
    </w:p>
    <w:p w14:paraId="34FA0585" w14:textId="76B296AE" w:rsidR="007A1F9F" w:rsidRPr="00104238" w:rsidRDefault="007A1F9F" w:rsidP="0028143B">
      <w:pPr>
        <w:spacing w:after="0" w:line="240" w:lineRule="auto"/>
        <w:rPr>
          <w:sz w:val="24"/>
          <w:szCs w:val="24"/>
          <w:lang w:val="lv-LV"/>
        </w:rPr>
      </w:pPr>
    </w:p>
    <w:p w14:paraId="38E5AEF7" w14:textId="77777777" w:rsidR="007A1F9F" w:rsidRPr="00104238" w:rsidRDefault="007A1F9F" w:rsidP="0028143B">
      <w:pPr>
        <w:pStyle w:val="naisf"/>
        <w:spacing w:before="0" w:after="0"/>
        <w:ind w:left="375" w:firstLine="0"/>
        <w:rPr>
          <w:rFonts w:cs="Arial"/>
          <w:lang w:eastAsia="en-US"/>
        </w:rPr>
      </w:pPr>
      <w:r w:rsidRPr="00104238">
        <w:rPr>
          <w:rFonts w:cs="Arial"/>
          <w:lang w:eastAsia="en-US"/>
        </w:rPr>
        <w:t>Iesniedzējs:</w:t>
      </w:r>
    </w:p>
    <w:p w14:paraId="5E76028F" w14:textId="77777777" w:rsidR="007A1F9F" w:rsidRPr="00104238" w:rsidRDefault="007A1F9F" w:rsidP="0028143B">
      <w:pPr>
        <w:pStyle w:val="naisf"/>
        <w:spacing w:before="0" w:after="0"/>
        <w:rPr>
          <w:rFonts w:cs="Arial"/>
          <w:lang w:eastAsia="en-US"/>
        </w:rPr>
      </w:pPr>
      <w:r w:rsidRPr="00104238">
        <w:rPr>
          <w:rFonts w:cs="Arial"/>
          <w:lang w:eastAsia="en-US"/>
        </w:rPr>
        <w:t>satiksmes ministrs</w:t>
      </w:r>
      <w:r w:rsidRPr="00104238">
        <w:rPr>
          <w:rFonts w:cs="Arial"/>
          <w:lang w:eastAsia="en-US"/>
        </w:rPr>
        <w:tab/>
      </w:r>
      <w:r w:rsidRPr="00104238">
        <w:rPr>
          <w:rFonts w:cs="Arial"/>
          <w:lang w:eastAsia="en-US"/>
        </w:rPr>
        <w:tab/>
      </w:r>
      <w:r w:rsidRPr="00104238">
        <w:rPr>
          <w:rFonts w:cs="Arial"/>
          <w:lang w:eastAsia="en-US"/>
        </w:rPr>
        <w:tab/>
      </w:r>
      <w:r w:rsidRPr="00104238">
        <w:rPr>
          <w:rFonts w:cs="Arial"/>
          <w:lang w:eastAsia="en-US"/>
        </w:rPr>
        <w:tab/>
      </w:r>
      <w:r w:rsidRPr="00104238">
        <w:rPr>
          <w:rFonts w:cs="Arial"/>
          <w:lang w:eastAsia="en-US"/>
        </w:rPr>
        <w:tab/>
      </w:r>
      <w:r w:rsidRPr="00104238">
        <w:rPr>
          <w:rFonts w:cs="Arial"/>
          <w:lang w:eastAsia="en-US"/>
        </w:rPr>
        <w:tab/>
      </w:r>
      <w:r w:rsidRPr="00104238">
        <w:rPr>
          <w:rFonts w:cs="Arial"/>
          <w:lang w:eastAsia="en-US"/>
        </w:rPr>
        <w:tab/>
      </w:r>
      <w:proofErr w:type="spellStart"/>
      <w:r w:rsidRPr="00104238">
        <w:rPr>
          <w:rFonts w:cs="Arial"/>
          <w:lang w:eastAsia="en-US"/>
        </w:rPr>
        <w:t>T.Linkaits</w:t>
      </w:r>
      <w:proofErr w:type="spellEnd"/>
    </w:p>
    <w:p w14:paraId="704D1711" w14:textId="1EF2E5B9" w:rsidR="007A1F9F" w:rsidRPr="00104238" w:rsidRDefault="007A1F9F" w:rsidP="0028143B">
      <w:pPr>
        <w:pStyle w:val="naisf"/>
        <w:spacing w:before="0" w:after="0"/>
        <w:ind w:firstLine="0"/>
        <w:rPr>
          <w:rFonts w:cs="Arial"/>
          <w:lang w:eastAsia="en-US"/>
        </w:rPr>
      </w:pPr>
    </w:p>
    <w:p w14:paraId="6763BCC7" w14:textId="77777777" w:rsidR="00391E9F" w:rsidRPr="00104238" w:rsidRDefault="00391E9F" w:rsidP="0028143B">
      <w:pPr>
        <w:pStyle w:val="naisf"/>
        <w:spacing w:before="0" w:after="0"/>
        <w:ind w:firstLine="0"/>
        <w:rPr>
          <w:rFonts w:cs="Arial"/>
          <w:lang w:eastAsia="en-US"/>
        </w:rPr>
      </w:pPr>
    </w:p>
    <w:p w14:paraId="587ACF53" w14:textId="77777777" w:rsidR="007A1F9F" w:rsidRPr="00104238" w:rsidRDefault="007A1F9F" w:rsidP="0028143B">
      <w:pPr>
        <w:pStyle w:val="naisf"/>
        <w:spacing w:before="0" w:after="0"/>
        <w:rPr>
          <w:rFonts w:ascii="Calibri" w:eastAsia="Calibri" w:hAnsi="Calibri"/>
          <w:lang w:eastAsia="en-US"/>
        </w:rPr>
      </w:pPr>
      <w:r w:rsidRPr="00104238">
        <w:rPr>
          <w:rFonts w:cs="Arial"/>
          <w:lang w:eastAsia="en-US"/>
        </w:rPr>
        <w:t>Vīza: valsts sekretāre</w:t>
      </w:r>
      <w:r w:rsidRPr="00104238">
        <w:rPr>
          <w:rFonts w:cs="Arial"/>
          <w:lang w:eastAsia="en-US"/>
        </w:rPr>
        <w:tab/>
      </w:r>
      <w:r w:rsidRPr="00104238">
        <w:rPr>
          <w:rFonts w:cs="Arial"/>
          <w:lang w:eastAsia="en-US"/>
        </w:rPr>
        <w:tab/>
      </w:r>
      <w:r w:rsidRPr="00104238">
        <w:rPr>
          <w:rFonts w:cs="Arial"/>
          <w:lang w:eastAsia="en-US"/>
        </w:rPr>
        <w:tab/>
      </w:r>
      <w:r w:rsidRPr="00104238">
        <w:rPr>
          <w:rFonts w:cs="Arial"/>
          <w:lang w:eastAsia="en-US"/>
        </w:rPr>
        <w:tab/>
      </w:r>
      <w:r w:rsidRPr="00104238">
        <w:rPr>
          <w:rFonts w:cs="Arial"/>
          <w:lang w:eastAsia="en-US"/>
        </w:rPr>
        <w:tab/>
      </w:r>
      <w:r w:rsidRPr="00104238">
        <w:rPr>
          <w:rFonts w:cs="Arial"/>
          <w:lang w:eastAsia="en-US"/>
        </w:rPr>
        <w:tab/>
      </w:r>
      <w:proofErr w:type="spellStart"/>
      <w:r w:rsidRPr="00104238">
        <w:rPr>
          <w:rFonts w:cs="Arial"/>
          <w:lang w:eastAsia="en-US"/>
        </w:rPr>
        <w:t>I.Stepanova</w:t>
      </w:r>
      <w:proofErr w:type="spellEnd"/>
      <w:r w:rsidRPr="00104238">
        <w:rPr>
          <w:rFonts w:cs="Arial"/>
          <w:lang w:eastAsia="en-US"/>
        </w:rPr>
        <w:tab/>
      </w:r>
      <w:r w:rsidRPr="00104238">
        <w:rPr>
          <w:rFonts w:cs="Arial"/>
          <w:lang w:eastAsia="en-US"/>
        </w:rPr>
        <w:tab/>
      </w:r>
      <w:r w:rsidRPr="00104238">
        <w:rPr>
          <w:rFonts w:cs="Arial"/>
          <w:lang w:eastAsia="en-US"/>
        </w:rPr>
        <w:tab/>
      </w:r>
    </w:p>
    <w:p w14:paraId="3C4B8979" w14:textId="77777777" w:rsidR="007A1F9F" w:rsidRPr="00104238" w:rsidRDefault="007A1F9F" w:rsidP="0028143B">
      <w:pPr>
        <w:spacing w:after="0" w:line="240" w:lineRule="auto"/>
        <w:rPr>
          <w:lang w:val="lv-LV"/>
        </w:rPr>
      </w:pPr>
    </w:p>
    <w:sectPr w:rsidR="007A1F9F" w:rsidRPr="00104238" w:rsidSect="00061685">
      <w:headerReference w:type="default" r:id="rId8"/>
      <w:pgSz w:w="11900" w:h="16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A892B" w14:textId="77777777" w:rsidR="00F049B9" w:rsidRDefault="00F049B9" w:rsidP="00061685">
      <w:pPr>
        <w:spacing w:after="0" w:line="240" w:lineRule="auto"/>
      </w:pPr>
      <w:r>
        <w:separator/>
      </w:r>
    </w:p>
  </w:endnote>
  <w:endnote w:type="continuationSeparator" w:id="0">
    <w:p w14:paraId="4EF23CE2" w14:textId="77777777" w:rsidR="00F049B9" w:rsidRDefault="00F049B9" w:rsidP="0006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3D7EA" w14:textId="77777777" w:rsidR="00F049B9" w:rsidRDefault="00F049B9" w:rsidP="00061685">
      <w:pPr>
        <w:spacing w:after="0" w:line="240" w:lineRule="auto"/>
      </w:pPr>
      <w:r>
        <w:separator/>
      </w:r>
    </w:p>
  </w:footnote>
  <w:footnote w:type="continuationSeparator" w:id="0">
    <w:p w14:paraId="07AA083E" w14:textId="77777777" w:rsidR="00F049B9" w:rsidRDefault="00F049B9" w:rsidP="0006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860475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169CA6E4" w14:textId="34851CA5" w:rsidR="00061685" w:rsidRPr="00061685" w:rsidRDefault="00061685">
        <w:pPr>
          <w:pStyle w:val="Header"/>
          <w:jc w:val="center"/>
          <w:rPr>
            <w:rFonts w:ascii="Times New Roman" w:hAnsi="Times New Roman"/>
            <w:sz w:val="20"/>
            <w:szCs w:val="20"/>
          </w:rPr>
        </w:pPr>
        <w:r w:rsidRPr="00061685">
          <w:rPr>
            <w:rFonts w:ascii="Times New Roman" w:hAnsi="Times New Roman"/>
            <w:sz w:val="20"/>
            <w:szCs w:val="20"/>
          </w:rPr>
          <w:fldChar w:fldCharType="begin"/>
        </w:r>
        <w:r w:rsidRPr="00061685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061685">
          <w:rPr>
            <w:rFonts w:ascii="Times New Roman" w:hAnsi="Times New Roman"/>
            <w:sz w:val="20"/>
            <w:szCs w:val="20"/>
          </w:rPr>
          <w:fldChar w:fldCharType="separate"/>
        </w:r>
        <w:r w:rsidRPr="00061685">
          <w:rPr>
            <w:rFonts w:ascii="Times New Roman" w:hAnsi="Times New Roman"/>
            <w:noProof/>
            <w:sz w:val="20"/>
            <w:szCs w:val="20"/>
          </w:rPr>
          <w:t>2</w:t>
        </w:r>
        <w:r w:rsidRPr="00061685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572DF579" w14:textId="77777777" w:rsidR="00061685" w:rsidRDefault="00061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B6144"/>
    <w:multiLevelType w:val="hybridMultilevel"/>
    <w:tmpl w:val="2566211A"/>
    <w:lvl w:ilvl="0" w:tplc="E90C3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E867C5"/>
    <w:multiLevelType w:val="hybridMultilevel"/>
    <w:tmpl w:val="041CE76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F65F7D"/>
    <w:multiLevelType w:val="hybridMultilevel"/>
    <w:tmpl w:val="58A07878"/>
    <w:lvl w:ilvl="0" w:tplc="3676B078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50BB5"/>
    <w:multiLevelType w:val="hybridMultilevel"/>
    <w:tmpl w:val="26D41A32"/>
    <w:lvl w:ilvl="0" w:tplc="0426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C2"/>
    <w:rsid w:val="00034FC8"/>
    <w:rsid w:val="00061685"/>
    <w:rsid w:val="000732E2"/>
    <w:rsid w:val="0009262D"/>
    <w:rsid w:val="00096033"/>
    <w:rsid w:val="000B0E3C"/>
    <w:rsid w:val="00104238"/>
    <w:rsid w:val="00147E6A"/>
    <w:rsid w:val="001E5A0C"/>
    <w:rsid w:val="00221089"/>
    <w:rsid w:val="00252442"/>
    <w:rsid w:val="0028143B"/>
    <w:rsid w:val="002A511B"/>
    <w:rsid w:val="002B6826"/>
    <w:rsid w:val="002D2EC3"/>
    <w:rsid w:val="00335073"/>
    <w:rsid w:val="00350602"/>
    <w:rsid w:val="00382C1C"/>
    <w:rsid w:val="00391E9F"/>
    <w:rsid w:val="003D542A"/>
    <w:rsid w:val="003D6B14"/>
    <w:rsid w:val="00414BD8"/>
    <w:rsid w:val="00415C1E"/>
    <w:rsid w:val="00444EF3"/>
    <w:rsid w:val="0045620B"/>
    <w:rsid w:val="004611FE"/>
    <w:rsid w:val="004E3F66"/>
    <w:rsid w:val="00500247"/>
    <w:rsid w:val="00501A99"/>
    <w:rsid w:val="00600836"/>
    <w:rsid w:val="00636EF6"/>
    <w:rsid w:val="0064465A"/>
    <w:rsid w:val="006563CE"/>
    <w:rsid w:val="006801A3"/>
    <w:rsid w:val="006C5E50"/>
    <w:rsid w:val="00723089"/>
    <w:rsid w:val="007323AD"/>
    <w:rsid w:val="007536D1"/>
    <w:rsid w:val="007A1F9F"/>
    <w:rsid w:val="007E5F6F"/>
    <w:rsid w:val="007F252F"/>
    <w:rsid w:val="00826725"/>
    <w:rsid w:val="0084277F"/>
    <w:rsid w:val="00847AAC"/>
    <w:rsid w:val="008803FB"/>
    <w:rsid w:val="00895683"/>
    <w:rsid w:val="008C0BC4"/>
    <w:rsid w:val="0096333C"/>
    <w:rsid w:val="009635EB"/>
    <w:rsid w:val="00995675"/>
    <w:rsid w:val="009F4EC7"/>
    <w:rsid w:val="00A140AD"/>
    <w:rsid w:val="00A20C05"/>
    <w:rsid w:val="00A2498D"/>
    <w:rsid w:val="00A64775"/>
    <w:rsid w:val="00A6715E"/>
    <w:rsid w:val="00A7068A"/>
    <w:rsid w:val="00AD6225"/>
    <w:rsid w:val="00B54DE6"/>
    <w:rsid w:val="00C262D4"/>
    <w:rsid w:val="00CA154D"/>
    <w:rsid w:val="00CA6D82"/>
    <w:rsid w:val="00CB299B"/>
    <w:rsid w:val="00CC10C2"/>
    <w:rsid w:val="00CC629E"/>
    <w:rsid w:val="00CE7A8F"/>
    <w:rsid w:val="00D02374"/>
    <w:rsid w:val="00D36F02"/>
    <w:rsid w:val="00D73DCD"/>
    <w:rsid w:val="00D9173F"/>
    <w:rsid w:val="00DA5DB3"/>
    <w:rsid w:val="00DB12A6"/>
    <w:rsid w:val="00E76468"/>
    <w:rsid w:val="00EA4097"/>
    <w:rsid w:val="00F049B9"/>
    <w:rsid w:val="00F07F25"/>
    <w:rsid w:val="00F218E4"/>
    <w:rsid w:val="00F24C2F"/>
    <w:rsid w:val="00F46A5A"/>
    <w:rsid w:val="00F80CE6"/>
    <w:rsid w:val="00F94937"/>
    <w:rsid w:val="00FB6252"/>
    <w:rsid w:val="00FE3B98"/>
    <w:rsid w:val="00F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7298"/>
  <w15:chartTrackingRefBased/>
  <w15:docId w15:val="{D2A195F6-8B31-6044-A75A-4DFC6EB9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73F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uiPriority w:val="99"/>
    <w:rsid w:val="00D9173F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F9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F9F"/>
    <w:rPr>
      <w:rFonts w:ascii="Times New Roman" w:eastAsia="Calibri" w:hAnsi="Times New Roman" w:cs="Times New Roman"/>
      <w:sz w:val="18"/>
      <w:szCs w:val="18"/>
      <w:lang w:val="en-US"/>
    </w:rPr>
  </w:style>
  <w:style w:type="paragraph" w:styleId="ListParagraph">
    <w:name w:val="List Paragraph"/>
    <w:basedOn w:val="Normal"/>
    <w:uiPriority w:val="99"/>
    <w:qFormat/>
    <w:rsid w:val="007A1F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3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B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B98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B98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1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685"/>
    <w:rPr>
      <w:rFonts w:ascii="Calibri" w:eastAsia="Calibri" w:hAnsi="Calibri"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1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685"/>
    <w:rPr>
      <w:rFonts w:ascii="Calibri" w:eastAsia="Calibri" w:hAnsi="Calibri" w:cs="Times New Roman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CA154D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42998-5685-5E49-8CB4-256F0B58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4028</Words>
  <Characters>2296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Liepājas speciālās ekonomiskās zonas likumā</vt:lpstr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Liepājas speciālās ekonomiskās zonas likumā</dc:title>
  <dc:subject>likumprojekts</dc:subject>
  <dc:creator>67028351, Roberts.Noviks@sam.gov.lv</dc:creator>
  <cp:keywords/>
  <dc:description>R.Noviks, Roberts.Noviks@sam.gov.lv</dc:description>
  <cp:lastModifiedBy>Lāsma Gaile</cp:lastModifiedBy>
  <cp:revision>3</cp:revision>
  <cp:lastPrinted>2020-05-26T08:51:00Z</cp:lastPrinted>
  <dcterms:created xsi:type="dcterms:W3CDTF">2020-08-05T13:24:00Z</dcterms:created>
  <dcterms:modified xsi:type="dcterms:W3CDTF">2020-08-07T07:36:00Z</dcterms:modified>
</cp:coreProperties>
</file>